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BD5D" w14:textId="0A6DB410" w:rsidR="000362FE" w:rsidRDefault="000362FE" w:rsidP="00A33BDF"/>
    <w:p w14:paraId="2DA18BD3" w14:textId="5B99351B" w:rsidR="00A33BDF" w:rsidRPr="00B8194D" w:rsidRDefault="00183900" w:rsidP="00A33BDF">
      <w:pPr>
        <w:rPr>
          <w:rFonts w:cstheme="minorHAnsi"/>
          <w:b/>
          <w:bCs/>
          <w:sz w:val="28"/>
          <w:szCs w:val="28"/>
        </w:rPr>
      </w:pPr>
      <w:r w:rsidRPr="00E239E9">
        <w:rPr>
          <w:rFonts w:cstheme="minorHAnsi"/>
          <w:b/>
          <w:bCs/>
          <w:sz w:val="24"/>
          <w:szCs w:val="24"/>
        </w:rPr>
        <w:t xml:space="preserve">Hankkeen nimi: </w:t>
      </w:r>
      <w:r w:rsidR="00943EB8" w:rsidRPr="00B8194D">
        <w:rPr>
          <w:rFonts w:cstheme="minorHAnsi"/>
          <w:b/>
          <w:bCs/>
          <w:sz w:val="28"/>
          <w:szCs w:val="28"/>
        </w:rPr>
        <w:t>Pohjois-Pohjanmaan tulevaisuuden suuntaviivat</w:t>
      </w:r>
    </w:p>
    <w:p w14:paraId="60B1CCC3" w14:textId="5F151E53" w:rsidR="00A33BDF" w:rsidRPr="00F822CC" w:rsidRDefault="00A33BDF" w:rsidP="00A33BDF">
      <w:pPr>
        <w:rPr>
          <w:rFonts w:cstheme="minorHAnsi"/>
          <w:b/>
          <w:bCs/>
          <w:sz w:val="24"/>
          <w:szCs w:val="24"/>
        </w:rPr>
      </w:pPr>
      <w:r w:rsidRPr="00F822CC">
        <w:rPr>
          <w:rFonts w:cstheme="minorHAnsi"/>
          <w:b/>
          <w:bCs/>
          <w:sz w:val="24"/>
          <w:szCs w:val="24"/>
        </w:rPr>
        <w:t>Hankkeen tiivistelmä</w:t>
      </w:r>
      <w:r w:rsidR="00811F25" w:rsidRPr="00F822CC">
        <w:rPr>
          <w:rFonts w:cstheme="minorHAnsi"/>
          <w:b/>
          <w:bCs/>
          <w:sz w:val="24"/>
          <w:szCs w:val="24"/>
        </w:rPr>
        <w:t>:</w:t>
      </w:r>
      <w:r w:rsidR="00183900" w:rsidRPr="00F822CC">
        <w:rPr>
          <w:rFonts w:cstheme="minorHAnsi"/>
          <w:b/>
          <w:bCs/>
          <w:sz w:val="24"/>
          <w:szCs w:val="24"/>
        </w:rPr>
        <w:t xml:space="preserve"> </w:t>
      </w:r>
    </w:p>
    <w:p w14:paraId="5C7D8D6D" w14:textId="5AEE82BD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Maakunnan liitolla on vastuu maakunnan suunnittelusta ja kehittämisestä alueiden kehittämislain sekä maankäyttö- ja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rakennuslain edellyttämällä tavalla. Maakuntastrategiassa osoitetaan maakunnan tavoiteltu kehitys ja strategia pitkällä aikavälillä.</w:t>
      </w:r>
    </w:p>
    <w:p w14:paraId="4FB6FBD2" w14:textId="12506658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 xml:space="preserve">Voimassa olevat Pohjois-Pohjanmaan kehittämisen visio ja strategiset tavoitteet 2050 sekä maakuntaohjelma </w:t>
      </w:r>
      <w:proofErr w:type="gramStart"/>
      <w:r w:rsidRPr="00E239E9">
        <w:rPr>
          <w:rFonts w:cstheme="minorHAnsi"/>
          <w:sz w:val="24"/>
          <w:szCs w:val="24"/>
        </w:rPr>
        <w:t>2022-2025</w:t>
      </w:r>
      <w:proofErr w:type="gramEnd"/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valmistuivat vuonna 2021.</w:t>
      </w:r>
    </w:p>
    <w:p w14:paraId="2733C6D1" w14:textId="77982238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Voimassa oleva Pohjois-Pohjanmaan maakuntaohjelma (2022–2025) laadittiin hyvin erilaisessa toimintaympäristössä.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Muuttuneen kansainvälisen toimintaympäristön, talouskehityksen sekä mm. aluehallinnon uudistusten myötä on tarve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perusteelliselle prosessille, jossa aluekehittämisen tavoitteita ja valintoja tarkastellaan uudelleen ja konkretisoidaan uudeksi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 xml:space="preserve">maakuntaohjelmaksi vuosille </w:t>
      </w:r>
      <w:proofErr w:type="gramStart"/>
      <w:r w:rsidRPr="00E239E9">
        <w:rPr>
          <w:rFonts w:cstheme="minorHAnsi"/>
          <w:sz w:val="24"/>
          <w:szCs w:val="24"/>
        </w:rPr>
        <w:t>2026-2029</w:t>
      </w:r>
      <w:proofErr w:type="gramEnd"/>
      <w:r w:rsidRPr="00E239E9">
        <w:rPr>
          <w:rFonts w:cstheme="minorHAnsi"/>
          <w:sz w:val="24"/>
          <w:szCs w:val="24"/>
        </w:rPr>
        <w:t>.</w:t>
      </w:r>
    </w:p>
    <w:p w14:paraId="28BDF0D5" w14:textId="57586375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Hankkeella mahdollistetaan laajempi maakunnan tulevaisuuden näkymien työstäminen ja kehitetään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 xml:space="preserve">maakuntaohjelmavalmistelun </w:t>
      </w:r>
      <w:proofErr w:type="gramStart"/>
      <w:r w:rsidRPr="00E239E9">
        <w:rPr>
          <w:rFonts w:cstheme="minorHAnsi"/>
          <w:sz w:val="24"/>
          <w:szCs w:val="24"/>
        </w:rPr>
        <w:t>2026-2029</w:t>
      </w:r>
      <w:proofErr w:type="gramEnd"/>
      <w:r w:rsidRPr="00E239E9">
        <w:rPr>
          <w:rFonts w:cstheme="minorHAnsi"/>
          <w:sz w:val="24"/>
          <w:szCs w:val="24"/>
        </w:rPr>
        <w:t xml:space="preserve"> vuorovaikutusmalleja ja -prosesseja (vuorovaikutussuunnitelma) syvällisemmin kuin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virkatyönä olisi mahdollista. Lisäksi toimintaa voidaan laajentaa aluekehityksen sopimuksellisuuden suuntaan. Hankkeessa on</w:t>
      </w:r>
    </w:p>
    <w:p w14:paraId="1925B72C" w14:textId="0E61E967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tavoite tunnistaa ja työstää Pohjois-Pohjanmaan alueen toimintaympäristön muutoksia ja tulevaisuuden näkymiä, huomioiden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muuttuneen toimintaympäristön epävarmuudet, sekä uuden maakuntaohjelman strategiset sisällöt. Kunta- ja aluevaalit pidetään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huhtikuussa 2025 ja uusi maakuntavaltuusto päättää maakuntaohjelmasta syksyllä 2025.</w:t>
      </w:r>
    </w:p>
    <w:p w14:paraId="357C971E" w14:textId="1DFE27EB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Tällä AKKE-hankkeella mahdollistetaan syvällisempi perehtyminen maakunnan ja pohjoisen alueen tulevaisuuden näkymiin.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 xml:space="preserve">Lisäksi </w:t>
      </w:r>
      <w:proofErr w:type="spellStart"/>
      <w:r w:rsidRPr="00E239E9">
        <w:rPr>
          <w:rFonts w:cstheme="minorHAnsi"/>
          <w:sz w:val="24"/>
          <w:szCs w:val="24"/>
        </w:rPr>
        <w:t>osallistetaan</w:t>
      </w:r>
      <w:proofErr w:type="spellEnd"/>
      <w:r w:rsidRPr="00E239E9">
        <w:rPr>
          <w:rFonts w:cstheme="minorHAnsi"/>
          <w:sz w:val="24"/>
          <w:szCs w:val="24"/>
        </w:rPr>
        <w:t xml:space="preserve"> laadukkaammin, laajemmin ja monipuolisemmin ohjelman valmisteluun ja toimeenpanoon laajempi joukko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pohjoispohjalaisia kuin virkatyönä olisi mahdollista. Maailma muuttuu ja menestyäkseen myös Pohjois-Pohjanmaan on oltava</w:t>
      </w:r>
    </w:p>
    <w:p w14:paraId="26553106" w14:textId="63FEB118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valmis muuttumaan. Hankkeessa hyödynnetään meneillään olevaa Pohjois-Pohjanmaan skenaariotyötä 2050. Varsinaista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maakuntasuunnitelmaa ei kokonaan uudisteta.</w:t>
      </w:r>
    </w:p>
    <w:p w14:paraId="04F91D60" w14:textId="7C293D0F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Uuden maakuntaohjelmatyön tavoite on purkaa hallintosektori- sekä toimintalinja-ajattelua ja sen kautta siirtyä kohti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kokonaisvaltaisempaa strategista ajattelumallia sekä ilmiölähtöistä aluekehitystä. Tällä tavoitellaan joustavuutta ja nopeaa</w:t>
      </w:r>
    </w:p>
    <w:p w14:paraId="6C532717" w14:textId="20D32A1D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reagointikykyä ympärillämme tapahtuviin toimintaympäristön muutoksiin. Ohjelman valmistelussa korostuu kunta- ja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aluelähtöisyys sekä kansainvälisyys ja kokonaisturvallisuus. Lisäksi erityistä huomiota kiinnitetään väestörakenteen muutokseen</w:t>
      </w:r>
    </w:p>
    <w:p w14:paraId="6B50065E" w14:textId="7DC58D5D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sekä älykkään sopeutumisen edistämiseen.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Tulevaisuustyön pohjalta tunnistetaan uuden maakuntaohjelman sisällön kannalta merkitykselliset ilmiöt. Hankkeessa</w:t>
      </w:r>
    </w:p>
    <w:p w14:paraId="451414EF" w14:textId="414B10D4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uudistetaan osallistamismalli sekä tuotetaan alueellisia työpajoja, joissa muodostetaan maakunnan tulevaisuuskuvia ja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maakuntaohjelman strategisia sisältöjä.</w:t>
      </w:r>
    </w:p>
    <w:p w14:paraId="308C41F3" w14:textId="3AF51DF1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Hankkeeseen ostopalveluna hankittava tulevaisuus- ja fasilitointikonsultti tuottaa valitulla tavalla Pohjois-Pohjanmaan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tulevaisuuden suuntaviivat. Lisäksi tulevaisuustyön pohjalta työstetään maakuntaohjelman 2026–2029 sisällölliset</w:t>
      </w:r>
    </w:p>
    <w:p w14:paraId="71D2741B" w14:textId="26497889" w:rsidR="002A7E69" w:rsidRPr="00E239E9" w:rsidRDefault="002A7E69" w:rsidP="002A7E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lastRenderedPageBreak/>
        <w:t>toimenpidealueet syyskuun 2025 loppuun mennessä. Fasilitointituki kattaa koko maakuntaohjelman laadintajakson, jolloin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saadaan sparrausta sisällön kirjoittajille.</w:t>
      </w:r>
    </w:p>
    <w:p w14:paraId="57209BDB" w14:textId="762B63CA" w:rsidR="002A7E69" w:rsidRPr="00E239E9" w:rsidRDefault="002A7E69" w:rsidP="00B819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Hankkeen lopputuotteena syntyy maakuntaohjelmaprosessiin ja ohjelmavalmisteluun liittyvä vuorovaikutussuunnitelma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sekä materiaali, jossa valitaan Pohjois-Pohjanmaan maakuntaohjelman 2026–2029 strategiset kehittämisteemat ja sisällöt,</w:t>
      </w:r>
      <w:r w:rsidR="00B8194D">
        <w:rPr>
          <w:rFonts w:cstheme="minorHAnsi"/>
          <w:sz w:val="24"/>
          <w:szCs w:val="24"/>
        </w:rPr>
        <w:t xml:space="preserve"> </w:t>
      </w:r>
      <w:r w:rsidRPr="00E239E9">
        <w:rPr>
          <w:rFonts w:cstheme="minorHAnsi"/>
          <w:sz w:val="24"/>
          <w:szCs w:val="24"/>
        </w:rPr>
        <w:t>sekä saavutettavuusvaatimukset täyttävä erillinen raportti.</w:t>
      </w:r>
    </w:p>
    <w:p w14:paraId="30026C74" w14:textId="31A8B4CE" w:rsidR="00A33BDF" w:rsidRPr="00E239E9" w:rsidRDefault="00A33BDF" w:rsidP="00A33BDF">
      <w:pPr>
        <w:rPr>
          <w:rFonts w:cstheme="minorHAnsi"/>
          <w:sz w:val="24"/>
          <w:szCs w:val="24"/>
        </w:rPr>
      </w:pPr>
    </w:p>
    <w:p w14:paraId="302D0693" w14:textId="4A61F0AC" w:rsidR="00183900" w:rsidRPr="00E239E9" w:rsidRDefault="00183900" w:rsidP="00A33BDF">
      <w:pPr>
        <w:rPr>
          <w:rFonts w:cstheme="minorHAnsi"/>
          <w:sz w:val="24"/>
          <w:szCs w:val="24"/>
        </w:rPr>
      </w:pPr>
    </w:p>
    <w:p w14:paraId="3335B5D1" w14:textId="2FEA2C25" w:rsidR="00A33BDF" w:rsidRPr="00F822CC" w:rsidRDefault="00A33BDF" w:rsidP="00A33BDF">
      <w:pPr>
        <w:rPr>
          <w:rFonts w:cstheme="minorHAnsi"/>
          <w:b/>
          <w:bCs/>
          <w:sz w:val="24"/>
          <w:szCs w:val="24"/>
        </w:rPr>
      </w:pPr>
      <w:r w:rsidRPr="00F822CC">
        <w:rPr>
          <w:rFonts w:cstheme="minorHAnsi"/>
          <w:b/>
          <w:bCs/>
          <w:sz w:val="24"/>
          <w:szCs w:val="24"/>
        </w:rPr>
        <w:t>Lisätietoja:</w:t>
      </w:r>
      <w:r w:rsidR="00DF20C6" w:rsidRPr="00F822CC">
        <w:rPr>
          <w:rFonts w:cstheme="minorHAnsi"/>
          <w:b/>
          <w:bCs/>
          <w:sz w:val="24"/>
          <w:szCs w:val="24"/>
        </w:rPr>
        <w:t xml:space="preserve"> </w:t>
      </w:r>
    </w:p>
    <w:p w14:paraId="79AF2541" w14:textId="44CE6082" w:rsidR="000B73B3" w:rsidRPr="00E239E9" w:rsidRDefault="00146E60" w:rsidP="00183900">
      <w:pPr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I</w:t>
      </w:r>
      <w:r w:rsidR="000B08BE" w:rsidRPr="00E239E9">
        <w:rPr>
          <w:rFonts w:cstheme="minorHAnsi"/>
          <w:sz w:val="24"/>
          <w:szCs w:val="24"/>
        </w:rPr>
        <w:t>lpo Tapaninen strategiapäällikkö</w:t>
      </w:r>
      <w:r w:rsidR="00882522" w:rsidRPr="00E239E9">
        <w:rPr>
          <w:rFonts w:cstheme="minorHAnsi"/>
          <w:sz w:val="24"/>
          <w:szCs w:val="24"/>
        </w:rPr>
        <w:t xml:space="preserve"> </w:t>
      </w:r>
    </w:p>
    <w:p w14:paraId="44082DD9" w14:textId="4C22EF6E" w:rsidR="00146E60" w:rsidRPr="00E239E9" w:rsidRDefault="0019180F" w:rsidP="00183900">
      <w:pPr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>puh. +358 50 301 7546</w:t>
      </w:r>
    </w:p>
    <w:p w14:paraId="02918901" w14:textId="2AC77388" w:rsidR="000B73B3" w:rsidRPr="00E239E9" w:rsidRDefault="0019180F" w:rsidP="00183900">
      <w:pPr>
        <w:rPr>
          <w:rFonts w:cstheme="minorHAnsi"/>
          <w:sz w:val="24"/>
          <w:szCs w:val="24"/>
        </w:rPr>
      </w:pPr>
      <w:hyperlink r:id="rId6" w:history="1">
        <w:r w:rsidRPr="00E239E9">
          <w:rPr>
            <w:rStyle w:val="Hyperlinkki"/>
            <w:rFonts w:cstheme="minorHAnsi"/>
            <w:sz w:val="24"/>
            <w:szCs w:val="24"/>
          </w:rPr>
          <w:t>ilpo.tapaninen@pohjois-pohjanmaa.fi</w:t>
        </w:r>
      </w:hyperlink>
    </w:p>
    <w:p w14:paraId="59B61F60" w14:textId="56B425BC" w:rsidR="00853B53" w:rsidRPr="00E239E9" w:rsidRDefault="00DF20C6" w:rsidP="00A33BDF">
      <w:pPr>
        <w:rPr>
          <w:rFonts w:cstheme="minorHAnsi"/>
          <w:sz w:val="24"/>
          <w:szCs w:val="24"/>
        </w:rPr>
      </w:pPr>
      <w:r w:rsidRPr="00E239E9">
        <w:rPr>
          <w:rFonts w:cstheme="minorHAnsi"/>
          <w:sz w:val="24"/>
          <w:szCs w:val="24"/>
        </w:rPr>
        <w:t xml:space="preserve"> </w:t>
      </w:r>
    </w:p>
    <w:p w14:paraId="0A07D611" w14:textId="13AE5354" w:rsidR="00A33BDF" w:rsidRPr="00E239E9" w:rsidRDefault="00A33BDF" w:rsidP="00811F25">
      <w:pPr>
        <w:spacing w:after="0"/>
        <w:rPr>
          <w:rFonts w:cstheme="minorHAnsi"/>
          <w:sz w:val="24"/>
          <w:szCs w:val="24"/>
        </w:rPr>
      </w:pPr>
      <w:r w:rsidRPr="00F822CC">
        <w:rPr>
          <w:rFonts w:cstheme="minorHAnsi"/>
          <w:b/>
          <w:bCs/>
          <w:sz w:val="24"/>
          <w:szCs w:val="24"/>
        </w:rPr>
        <w:t>Toteuttaja:</w:t>
      </w:r>
      <w:r w:rsidR="00811F25" w:rsidRPr="00E239E9">
        <w:rPr>
          <w:rFonts w:cstheme="minorHAnsi"/>
          <w:sz w:val="24"/>
          <w:szCs w:val="24"/>
        </w:rPr>
        <w:t xml:space="preserve"> </w:t>
      </w:r>
      <w:r w:rsidR="00DF20C6" w:rsidRPr="00E239E9">
        <w:rPr>
          <w:rFonts w:cstheme="minorHAnsi"/>
          <w:sz w:val="24"/>
          <w:szCs w:val="24"/>
        </w:rPr>
        <w:tab/>
      </w:r>
      <w:r w:rsidR="00B8194D">
        <w:rPr>
          <w:rFonts w:cstheme="minorHAnsi"/>
          <w:sz w:val="24"/>
          <w:szCs w:val="24"/>
        </w:rPr>
        <w:tab/>
      </w:r>
      <w:r w:rsidR="00B8194D">
        <w:rPr>
          <w:rFonts w:cstheme="minorHAnsi"/>
          <w:sz w:val="24"/>
          <w:szCs w:val="24"/>
        </w:rPr>
        <w:tab/>
      </w:r>
      <w:r w:rsidR="007C032D" w:rsidRPr="00E239E9">
        <w:rPr>
          <w:rFonts w:cstheme="minorHAnsi"/>
          <w:sz w:val="24"/>
          <w:szCs w:val="24"/>
        </w:rPr>
        <w:t>Pohjois-Pohjanmaan liitto</w:t>
      </w:r>
      <w:r w:rsidR="00DF20C6" w:rsidRPr="00E239E9">
        <w:rPr>
          <w:rFonts w:cstheme="minorHAnsi"/>
          <w:sz w:val="24"/>
          <w:szCs w:val="24"/>
        </w:rPr>
        <w:tab/>
      </w:r>
    </w:p>
    <w:p w14:paraId="3A547D64" w14:textId="77777777" w:rsidR="00E239E9" w:rsidRPr="00E239E9" w:rsidRDefault="00E239E9" w:rsidP="00811F25">
      <w:pPr>
        <w:spacing w:after="0"/>
        <w:rPr>
          <w:rFonts w:cstheme="minorHAnsi"/>
          <w:sz w:val="24"/>
          <w:szCs w:val="24"/>
        </w:rPr>
      </w:pPr>
    </w:p>
    <w:p w14:paraId="04CBFE35" w14:textId="7F961DD9" w:rsidR="00A33BDF" w:rsidRPr="00E239E9" w:rsidRDefault="00A33BDF" w:rsidP="00811F25">
      <w:pPr>
        <w:spacing w:after="0"/>
        <w:rPr>
          <w:rFonts w:cstheme="minorHAnsi"/>
          <w:sz w:val="24"/>
          <w:szCs w:val="24"/>
        </w:rPr>
      </w:pPr>
      <w:r w:rsidRPr="00F822CC">
        <w:rPr>
          <w:rFonts w:cstheme="minorHAnsi"/>
          <w:b/>
          <w:bCs/>
          <w:sz w:val="24"/>
          <w:szCs w:val="24"/>
        </w:rPr>
        <w:t>Hankkeen kustannusarvio</w:t>
      </w:r>
      <w:r w:rsidR="00F822CC" w:rsidRPr="00F822CC">
        <w:rPr>
          <w:rFonts w:cstheme="minorHAnsi"/>
          <w:b/>
          <w:bCs/>
          <w:sz w:val="24"/>
          <w:szCs w:val="24"/>
        </w:rPr>
        <w:t>:</w:t>
      </w:r>
      <w:r w:rsidR="00853B53" w:rsidRPr="00E239E9">
        <w:rPr>
          <w:rFonts w:cstheme="minorHAnsi"/>
          <w:sz w:val="24"/>
          <w:szCs w:val="24"/>
        </w:rPr>
        <w:t xml:space="preserve">     </w:t>
      </w:r>
      <w:r w:rsidR="00183900" w:rsidRPr="00E239E9">
        <w:rPr>
          <w:rFonts w:cstheme="minorHAnsi"/>
          <w:sz w:val="24"/>
          <w:szCs w:val="24"/>
        </w:rPr>
        <w:t xml:space="preserve"> </w:t>
      </w:r>
      <w:r w:rsidR="00B8194D">
        <w:rPr>
          <w:rFonts w:cstheme="minorHAnsi"/>
          <w:sz w:val="24"/>
          <w:szCs w:val="24"/>
        </w:rPr>
        <w:tab/>
      </w:r>
      <w:r w:rsidR="003518CA" w:rsidRPr="00E239E9">
        <w:rPr>
          <w:rFonts w:cstheme="minorHAnsi"/>
          <w:sz w:val="24"/>
          <w:szCs w:val="24"/>
        </w:rPr>
        <w:t xml:space="preserve">33333,00 </w:t>
      </w:r>
      <w:r w:rsidR="00183900" w:rsidRPr="00E239E9">
        <w:rPr>
          <w:rFonts w:cstheme="minorHAnsi"/>
          <w:sz w:val="24"/>
          <w:szCs w:val="24"/>
        </w:rPr>
        <w:t xml:space="preserve">€ </w:t>
      </w:r>
      <w:r w:rsidR="00811F25" w:rsidRPr="00E239E9">
        <w:rPr>
          <w:rFonts w:cstheme="minorHAnsi"/>
          <w:sz w:val="24"/>
          <w:szCs w:val="24"/>
        </w:rPr>
        <w:t xml:space="preserve"> AKKE-tuki</w:t>
      </w:r>
      <w:r w:rsidR="00853B53" w:rsidRPr="00E239E9">
        <w:rPr>
          <w:rFonts w:cstheme="minorHAnsi"/>
          <w:sz w:val="24"/>
          <w:szCs w:val="24"/>
        </w:rPr>
        <w:t xml:space="preserve"> </w:t>
      </w:r>
      <w:r w:rsidR="00237AF9" w:rsidRPr="00E239E9">
        <w:rPr>
          <w:rFonts w:cstheme="minorHAnsi"/>
          <w:sz w:val="24"/>
          <w:szCs w:val="24"/>
        </w:rPr>
        <w:t xml:space="preserve">19000 </w:t>
      </w:r>
      <w:r w:rsidR="00811F25" w:rsidRPr="00E239E9">
        <w:rPr>
          <w:rFonts w:cstheme="minorHAnsi"/>
          <w:sz w:val="24"/>
          <w:szCs w:val="24"/>
        </w:rPr>
        <w:t>€</w:t>
      </w:r>
    </w:p>
    <w:p w14:paraId="06A719E2" w14:textId="77777777" w:rsidR="00E239E9" w:rsidRPr="00E239E9" w:rsidRDefault="00E239E9" w:rsidP="00811F25">
      <w:pPr>
        <w:spacing w:after="0"/>
        <w:rPr>
          <w:rFonts w:cstheme="minorHAnsi"/>
          <w:sz w:val="24"/>
          <w:szCs w:val="24"/>
        </w:rPr>
      </w:pPr>
    </w:p>
    <w:p w14:paraId="69A7FC78" w14:textId="33D9B145" w:rsidR="00811F25" w:rsidRPr="00E239E9" w:rsidRDefault="00811F25" w:rsidP="00811F25">
      <w:pPr>
        <w:spacing w:after="0"/>
        <w:rPr>
          <w:rFonts w:cstheme="minorHAnsi"/>
          <w:sz w:val="24"/>
          <w:szCs w:val="24"/>
        </w:rPr>
      </w:pPr>
      <w:r w:rsidRPr="008941EB">
        <w:rPr>
          <w:rFonts w:cstheme="minorHAnsi"/>
          <w:b/>
          <w:bCs/>
          <w:sz w:val="24"/>
          <w:szCs w:val="24"/>
        </w:rPr>
        <w:t>Toteutusaika:</w:t>
      </w:r>
      <w:r w:rsidR="0063219C" w:rsidRPr="00E239E9">
        <w:rPr>
          <w:rFonts w:cstheme="minorHAnsi"/>
          <w:sz w:val="24"/>
          <w:szCs w:val="24"/>
        </w:rPr>
        <w:tab/>
      </w:r>
      <w:r w:rsidR="0063219C" w:rsidRPr="00E239E9">
        <w:rPr>
          <w:rFonts w:cstheme="minorHAnsi"/>
          <w:sz w:val="24"/>
          <w:szCs w:val="24"/>
        </w:rPr>
        <w:tab/>
      </w:r>
      <w:r w:rsidR="003518CA" w:rsidRPr="00E239E9">
        <w:rPr>
          <w:rFonts w:cstheme="minorHAnsi"/>
          <w:sz w:val="24"/>
          <w:szCs w:val="24"/>
        </w:rPr>
        <w:t>9.12.2024 - 30.9.2025</w:t>
      </w:r>
    </w:p>
    <w:sectPr w:rsidR="00811F25" w:rsidRPr="00E239E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FE86" w14:textId="77777777" w:rsidR="002A538A" w:rsidRDefault="002A538A" w:rsidP="00A33BDF">
      <w:pPr>
        <w:spacing w:after="0" w:line="240" w:lineRule="auto"/>
      </w:pPr>
      <w:r>
        <w:separator/>
      </w:r>
    </w:p>
  </w:endnote>
  <w:endnote w:type="continuationSeparator" w:id="0">
    <w:p w14:paraId="4BC27A6F" w14:textId="77777777" w:rsidR="002A538A" w:rsidRDefault="002A538A" w:rsidP="00A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E2F7" w14:textId="77777777" w:rsidR="002A538A" w:rsidRDefault="002A538A" w:rsidP="00A33BDF">
      <w:pPr>
        <w:spacing w:after="0" w:line="240" w:lineRule="auto"/>
      </w:pPr>
      <w:r>
        <w:separator/>
      </w:r>
    </w:p>
  </w:footnote>
  <w:footnote w:type="continuationSeparator" w:id="0">
    <w:p w14:paraId="06B5C29C" w14:textId="77777777" w:rsidR="002A538A" w:rsidRDefault="002A538A" w:rsidP="00A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92ED" w14:textId="40615143" w:rsidR="00A33BDF" w:rsidRDefault="00A33BDF">
    <w:pPr>
      <w:pStyle w:val="Yltunniste"/>
    </w:pPr>
    <w:r>
      <w:tab/>
    </w:r>
    <w:r w:rsidR="001717A8">
      <w:tab/>
    </w:r>
    <w:r w:rsidR="001717A8">
      <w:rPr>
        <w:noProof/>
      </w:rPr>
      <w:drawing>
        <wp:inline distT="0" distB="0" distL="0" distR="0" wp14:anchorId="2F847236" wp14:editId="6A9A2992">
          <wp:extent cx="3132881" cy="1041400"/>
          <wp:effectExtent l="0" t="0" r="0" b="6350"/>
          <wp:docPr id="5" name="Kuva 4">
            <a:extLst xmlns:a="http://schemas.openxmlformats.org/drawingml/2006/main">
              <a:ext uri="{FF2B5EF4-FFF2-40B4-BE49-F238E27FC236}">
                <a16:creationId xmlns:a16="http://schemas.microsoft.com/office/drawing/2014/main" id="{9187FEA5-DC85-4E68-B89C-7A1E6F65EA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4">
                    <a:extLst>
                      <a:ext uri="{FF2B5EF4-FFF2-40B4-BE49-F238E27FC236}">
                        <a16:creationId xmlns:a16="http://schemas.microsoft.com/office/drawing/2014/main" id="{9187FEA5-DC85-4E68-B89C-7A1E6F65EA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134" cy="104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DF"/>
    <w:rsid w:val="000362FE"/>
    <w:rsid w:val="000B08BE"/>
    <w:rsid w:val="000B73B3"/>
    <w:rsid w:val="000F3CC6"/>
    <w:rsid w:val="00146E60"/>
    <w:rsid w:val="00155801"/>
    <w:rsid w:val="001717A8"/>
    <w:rsid w:val="00183900"/>
    <w:rsid w:val="0019180F"/>
    <w:rsid w:val="00237AF9"/>
    <w:rsid w:val="002A538A"/>
    <w:rsid w:val="002A7E69"/>
    <w:rsid w:val="003518CA"/>
    <w:rsid w:val="005C5994"/>
    <w:rsid w:val="0063219C"/>
    <w:rsid w:val="007329A9"/>
    <w:rsid w:val="007C032D"/>
    <w:rsid w:val="00811F25"/>
    <w:rsid w:val="00853B53"/>
    <w:rsid w:val="00882522"/>
    <w:rsid w:val="008941EB"/>
    <w:rsid w:val="00943EB8"/>
    <w:rsid w:val="00A33BDF"/>
    <w:rsid w:val="00B8194D"/>
    <w:rsid w:val="00B947DA"/>
    <w:rsid w:val="00C13C26"/>
    <w:rsid w:val="00DF20C6"/>
    <w:rsid w:val="00E239E9"/>
    <w:rsid w:val="00E62E88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8E6F0"/>
  <w15:chartTrackingRefBased/>
  <w15:docId w15:val="{D73FB806-1809-4122-9BF8-431985F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3BDF"/>
  </w:style>
  <w:style w:type="paragraph" w:styleId="Alatunniste">
    <w:name w:val="footer"/>
    <w:basedOn w:val="Normaali"/>
    <w:link w:val="Ala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3BDF"/>
  </w:style>
  <w:style w:type="character" w:styleId="Hyperlinkki">
    <w:name w:val="Hyperlink"/>
    <w:basedOn w:val="Kappaleenoletusfontti"/>
    <w:uiPriority w:val="99"/>
    <w:unhideWhenUsed/>
    <w:rsid w:val="000B73B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7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po.tapaninen@pohjois-pohjanmaa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Isoniemi</dc:creator>
  <cp:keywords/>
  <dc:description/>
  <cp:lastModifiedBy>Pia Välimäki</cp:lastModifiedBy>
  <cp:revision>2</cp:revision>
  <dcterms:created xsi:type="dcterms:W3CDTF">2025-01-24T09:03:00Z</dcterms:created>
  <dcterms:modified xsi:type="dcterms:W3CDTF">2025-01-24T09:03:00Z</dcterms:modified>
</cp:coreProperties>
</file>